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FB" w:rsidRDefault="001232CC" w:rsidP="001232CC">
      <w:pPr>
        <w:pStyle w:val="1"/>
        <w:jc w:val="center"/>
      </w:pPr>
      <w:proofErr w:type="spellStart"/>
      <w:r w:rsidRPr="001232CC">
        <w:t>Сведения</w:t>
      </w:r>
      <w:proofErr w:type="spellEnd"/>
      <w:r w:rsidRPr="001232CC">
        <w:t xml:space="preserve"> </w:t>
      </w:r>
      <w:proofErr w:type="spellStart"/>
      <w:r w:rsidRPr="001232CC">
        <w:t>об</w:t>
      </w:r>
      <w:proofErr w:type="spellEnd"/>
      <w:r w:rsidRPr="001232CC">
        <w:t xml:space="preserve"> </w:t>
      </w:r>
      <w:proofErr w:type="spellStart"/>
      <w:r w:rsidRPr="001232CC">
        <w:t>официальном</w:t>
      </w:r>
      <w:proofErr w:type="spellEnd"/>
      <w:r w:rsidRPr="001232CC">
        <w:t xml:space="preserve"> </w:t>
      </w:r>
      <w:proofErr w:type="spellStart"/>
      <w:r w:rsidRPr="001232CC">
        <w:t>оппоненте</w:t>
      </w:r>
      <w:proofErr w:type="spellEnd"/>
    </w:p>
    <w:p w:rsidR="001232CC" w:rsidRPr="001232CC" w:rsidRDefault="001232CC" w:rsidP="001232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295"/>
      </w:tblGrid>
      <w:tr w:rsidR="00455DFB" w:rsidRPr="001232CC" w:rsidTr="001232CC">
        <w:tc>
          <w:tcPr>
            <w:tcW w:w="3295" w:type="dxa"/>
          </w:tcPr>
          <w:p w:rsidR="00455DFB" w:rsidRPr="001232CC" w:rsidRDefault="00455DFB" w:rsidP="00455D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Фамилия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Имя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Отчество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55DFB" w:rsidRPr="001232CC" w:rsidRDefault="00455D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32CC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полностью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6590" w:type="dxa"/>
            <w:gridSpan w:val="2"/>
          </w:tcPr>
          <w:p w:rsidR="00455DFB" w:rsidRPr="001232CC" w:rsidRDefault="00BA3E3D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BA3E3D">
              <w:rPr>
                <w:rFonts w:ascii="Cambria" w:hAnsi="Cambria"/>
                <w:sz w:val="26"/>
                <w:szCs w:val="26"/>
              </w:rPr>
              <w:t>Орлов</w:t>
            </w:r>
            <w:proofErr w:type="spellEnd"/>
            <w:r w:rsidRPr="00BA3E3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A3E3D">
              <w:rPr>
                <w:rFonts w:ascii="Cambria" w:hAnsi="Cambria"/>
                <w:sz w:val="26"/>
                <w:szCs w:val="26"/>
              </w:rPr>
              <w:t>Юрий</w:t>
            </w:r>
            <w:proofErr w:type="spellEnd"/>
            <w:r w:rsidRPr="00BA3E3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A3E3D">
              <w:rPr>
                <w:rFonts w:ascii="Cambria" w:hAnsi="Cambria"/>
                <w:sz w:val="26"/>
                <w:szCs w:val="26"/>
              </w:rPr>
              <w:t>Львович</w:t>
            </w:r>
            <w:proofErr w:type="spellEnd"/>
          </w:p>
        </w:tc>
      </w:tr>
      <w:tr w:rsidR="00455DFB" w:rsidRPr="001232CC" w:rsidTr="001232CC">
        <w:tc>
          <w:tcPr>
            <w:tcW w:w="3295" w:type="dxa"/>
          </w:tcPr>
          <w:p w:rsidR="00455DFB" w:rsidRPr="001232CC" w:rsidRDefault="00455D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Ученая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степень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отрасли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наук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научных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специальностей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которым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защищена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диссертация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95" w:type="dxa"/>
          </w:tcPr>
          <w:p w:rsidR="00455DFB" w:rsidRPr="001232CC" w:rsidRDefault="00455DFB" w:rsidP="00455DFB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1232CC">
              <w:rPr>
                <w:rFonts w:asciiTheme="minorHAnsi" w:hAnsiTheme="minorHAnsi"/>
                <w:sz w:val="26"/>
                <w:szCs w:val="26"/>
              </w:rPr>
              <w:t>Степень</w:t>
            </w:r>
            <w:proofErr w:type="spellEnd"/>
            <w:r w:rsidRPr="001232CC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455DFB" w:rsidRPr="001232CC" w:rsidRDefault="00BA3E3D" w:rsidP="00455DFB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BA3E3D">
              <w:rPr>
                <w:rFonts w:ascii="Cambria" w:hAnsi="Cambria"/>
                <w:sz w:val="26"/>
                <w:szCs w:val="26"/>
              </w:rPr>
              <w:t>Доктор</w:t>
            </w:r>
            <w:proofErr w:type="spellEnd"/>
            <w:r w:rsidRPr="00BA3E3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A3E3D">
              <w:rPr>
                <w:rFonts w:ascii="Cambria" w:hAnsi="Cambria"/>
                <w:sz w:val="26"/>
                <w:szCs w:val="26"/>
              </w:rPr>
              <w:t>биологических</w:t>
            </w:r>
            <w:proofErr w:type="spellEnd"/>
            <w:r w:rsidRPr="00BA3E3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A3E3D">
              <w:rPr>
                <w:rFonts w:ascii="Cambria" w:hAnsi="Cambria"/>
                <w:sz w:val="26"/>
                <w:szCs w:val="26"/>
              </w:rPr>
              <w:t>наук</w:t>
            </w:r>
            <w:proofErr w:type="spellEnd"/>
          </w:p>
        </w:tc>
        <w:tc>
          <w:tcPr>
            <w:tcW w:w="3295" w:type="dxa"/>
          </w:tcPr>
          <w:p w:rsidR="00CC60B3" w:rsidRDefault="00CC60B3" w:rsidP="00455DFB">
            <w:pPr>
              <w:pStyle w:val="Default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Наименование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455DFB" w:rsidRPr="001232CC" w:rsidRDefault="00CC60B3" w:rsidP="00CC60B3">
            <w:pPr>
              <w:pStyle w:val="Default"/>
              <w:rPr>
                <w:rFonts w:asciiTheme="minorHAnsi" w:hAnsiTheme="minorHAnsi"/>
              </w:rPr>
            </w:pPr>
            <w:r w:rsidRPr="00CC60B3">
              <w:rPr>
                <w:rFonts w:ascii="Cambria" w:hAnsi="Cambria"/>
                <w:sz w:val="26"/>
                <w:szCs w:val="26"/>
              </w:rPr>
              <w:t xml:space="preserve">03.01.09 -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математическая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биология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,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биоинформатика</w:t>
            </w:r>
            <w:proofErr w:type="spellEnd"/>
          </w:p>
        </w:tc>
      </w:tr>
      <w:bookmarkEnd w:id="0"/>
      <w:tr w:rsidR="00455DFB" w:rsidRPr="001232CC" w:rsidTr="001232CC">
        <w:tc>
          <w:tcPr>
            <w:tcW w:w="3295" w:type="dxa"/>
          </w:tcPr>
          <w:p w:rsidR="00455DFB" w:rsidRPr="001232CC" w:rsidRDefault="00455D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организации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основное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место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работы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должность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95" w:type="dxa"/>
          </w:tcPr>
          <w:p w:rsidR="00CC60B3" w:rsidRPr="00CC60B3" w:rsidRDefault="00CC60B3" w:rsidP="00CC60B3">
            <w:pPr>
              <w:pStyle w:val="Default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Лаборатория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эволюционной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биоинформатики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и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теоретической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генетики</w:t>
            </w:r>
            <w:proofErr w:type="spellEnd"/>
          </w:p>
          <w:p w:rsidR="00455DFB" w:rsidRPr="001232CC" w:rsidRDefault="00CC60B3" w:rsidP="00CC60B3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ИЦиГ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СО РАН,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Новосибирск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,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Россия</w:t>
            </w:r>
            <w:proofErr w:type="spellEnd"/>
          </w:p>
        </w:tc>
        <w:tc>
          <w:tcPr>
            <w:tcW w:w="3295" w:type="dxa"/>
          </w:tcPr>
          <w:p w:rsidR="00455DFB" w:rsidRPr="001232CC" w:rsidRDefault="00CC60B3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C</w:t>
            </w:r>
            <w:r w:rsidRPr="00CC60B3">
              <w:rPr>
                <w:rFonts w:ascii="Cambria" w:hAnsi="Cambria"/>
                <w:sz w:val="26"/>
                <w:szCs w:val="26"/>
              </w:rPr>
              <w:t>тарший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научный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CC60B3">
              <w:rPr>
                <w:rFonts w:ascii="Cambria" w:hAnsi="Cambria"/>
                <w:sz w:val="26"/>
                <w:szCs w:val="26"/>
              </w:rPr>
              <w:t>сотрудник</w:t>
            </w:r>
            <w:proofErr w:type="spellEnd"/>
            <w:r w:rsidRPr="00CC60B3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</w:tr>
      <w:tr w:rsidR="00455DFB" w:rsidRPr="001232CC" w:rsidTr="001232CC">
        <w:tc>
          <w:tcPr>
            <w:tcW w:w="3295" w:type="dxa"/>
          </w:tcPr>
          <w:p w:rsidR="00455DFB" w:rsidRPr="001232CC" w:rsidRDefault="00455DF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Список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основных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публикаций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оппонента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теме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диссертации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рецензируемых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научных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изданиях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посл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. 5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лет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не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32CC">
              <w:rPr>
                <w:rFonts w:asciiTheme="minorHAnsi" w:hAnsiTheme="minorHAnsi"/>
                <w:sz w:val="22"/>
                <w:szCs w:val="22"/>
              </w:rPr>
              <w:t>более</w:t>
            </w:r>
            <w:proofErr w:type="spellEnd"/>
            <w:r w:rsidRPr="001232CC">
              <w:rPr>
                <w:rFonts w:asciiTheme="minorHAnsi" w:hAnsiTheme="minorHAnsi"/>
                <w:sz w:val="22"/>
                <w:szCs w:val="22"/>
              </w:rPr>
              <w:t xml:space="preserve"> 15) </w:t>
            </w:r>
          </w:p>
        </w:tc>
        <w:tc>
          <w:tcPr>
            <w:tcW w:w="6590" w:type="dxa"/>
            <w:gridSpan w:val="2"/>
          </w:tcPr>
          <w:p w:rsidR="006027FA" w:rsidRPr="00B45870" w:rsidRDefault="006027FA" w:rsidP="006027F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Smagin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D.A.,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Kovalenko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I.L.,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Galyamina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A.G.,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Bragin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A.O.,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Kudryavtseva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N.N. Dysfunction in Ribosomal Gene Expression in the Hypothalamus and Hippocampus following Chronic Social Defeat Stress in Male Mice as Revealed by RNA-Seq. Neural Plasticity, vol. 2016, Article ID 3289187, 6 pages, 2016. </w:t>
            </w:r>
            <w:proofErr w:type="gramStart"/>
            <w:r w:rsidRPr="00B45870">
              <w:rPr>
                <w:rFonts w:asciiTheme="minorHAnsi" w:hAnsiTheme="minorHAnsi"/>
                <w:sz w:val="26"/>
                <w:szCs w:val="26"/>
              </w:rPr>
              <w:t>doi:10.1155</w:t>
            </w:r>
            <w:proofErr w:type="gramEnd"/>
            <w:r w:rsidRPr="00B45870">
              <w:rPr>
                <w:rFonts w:asciiTheme="minorHAnsi" w:hAnsiTheme="minorHAnsi"/>
                <w:sz w:val="26"/>
                <w:szCs w:val="26"/>
              </w:rPr>
              <w:t>/2016/3289187</w:t>
            </w:r>
          </w:p>
          <w:p w:rsidR="006027FA" w:rsidRPr="00B45870" w:rsidRDefault="006027FA" w:rsidP="006027F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Antontseva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E.V.,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Matveeva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M.Y.,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Bondar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N.P.,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Kashina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E.V.,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Leberfarb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E.Y.,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Bryzgalov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L.O.,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Gervas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P.A.,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Ponomareva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A.A.,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Cherdyntseva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A.A.,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Merkulova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 Regulatory single nucleotide polymorphisms (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rSNPs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>) at the beginning of intron 2 of the human KRAS gene. Journal of Biosciences, 40(5), 873–883. DOI 10.1007/s12038-015-9567-8</w:t>
            </w:r>
          </w:p>
          <w:p w:rsidR="006027FA" w:rsidRPr="00B45870" w:rsidRDefault="006027FA" w:rsidP="006027F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Bai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H., Liu H.,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Suyalatu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S.,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Guo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X., Chu S., Chen Y.,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Lan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T.,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Borjigin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B.,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Posukh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O.L., Yang X.,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Guilan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G.,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Osipova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L.P., Wu Q.,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Narisu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 (2015) Association analysis of genetic variants with type 2 diabetes in a Mongolian population in China // Journal of Diabetes Research 2015:613236. </w:t>
            </w:r>
            <w:proofErr w:type="spellStart"/>
            <w:proofErr w:type="gramStart"/>
            <w:r w:rsidRPr="00B45870">
              <w:rPr>
                <w:rFonts w:asciiTheme="minorHAnsi" w:hAnsiTheme="minorHAnsi"/>
                <w:sz w:val="26"/>
                <w:szCs w:val="26"/>
              </w:rPr>
              <w:t>doi</w:t>
            </w:r>
            <w:proofErr w:type="spellEnd"/>
            <w:proofErr w:type="gramEnd"/>
            <w:r w:rsidRPr="00B45870">
              <w:rPr>
                <w:rFonts w:asciiTheme="minorHAnsi" w:hAnsiTheme="minorHAnsi"/>
                <w:sz w:val="26"/>
                <w:szCs w:val="26"/>
              </w:rPr>
              <w:t>: 10.1155/2015/613236.</w:t>
            </w:r>
          </w:p>
          <w:p w:rsidR="006027FA" w:rsidRPr="00B45870" w:rsidRDefault="00455DFB" w:rsidP="006027F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027FA" w:rsidRPr="00B4587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Игнатьева Е.В., Подколодная О.А., Орлов Ю.Л., Васильев Г.В., Колчанов Н.А. (2015) Регуляторная </w:t>
            </w:r>
            <w:proofErr w:type="spellStart"/>
            <w:r w:rsidR="006027FA"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геномика</w:t>
            </w:r>
            <w:proofErr w:type="spellEnd"/>
            <w:r w:rsidR="006027FA" w:rsidRPr="00B4587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– экспериментально-компьютерные подходы // Генетика Т. 51 (4), С. 409-429.</w:t>
            </w:r>
          </w:p>
          <w:p w:rsidR="006027FA" w:rsidRPr="00B45870" w:rsidRDefault="006027FA" w:rsidP="006027F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  <w:lang w:val="ru-RU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Dobrovolskaya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O., Pont C.,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Sibout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R.,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Martinek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P.,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Badaeva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E., Murat F.,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Chosson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A., Watanabe N.,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Prat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E., Gautier N., Gautier V.,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Poncet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C.,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Krasnikov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A.A.,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Bergès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H., Salina E.,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Laikova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Salse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J. </w:t>
            </w:r>
            <w:r w:rsidRPr="00B45870">
              <w:rPr>
                <w:rFonts w:asciiTheme="minorHAnsi" w:hAnsiTheme="minorHAnsi"/>
                <w:iCs/>
                <w:sz w:val="26"/>
                <w:szCs w:val="26"/>
              </w:rPr>
              <w:t xml:space="preserve">(2015) </w:t>
            </w:r>
            <w:r w:rsidRPr="00B45870">
              <w:rPr>
                <w:rFonts w:asciiTheme="minorHAnsi" w:hAnsiTheme="minorHAnsi"/>
                <w:sz w:val="26"/>
                <w:szCs w:val="26"/>
              </w:rPr>
              <w:t xml:space="preserve">FRIZZY PANICLE Drives Supernumerary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Spikelets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in Bread Wheat // Plant Physiol. 167(1)</w:t>
            </w:r>
            <w:proofErr w:type="gramStart"/>
            <w:r w:rsidRPr="00B45870">
              <w:rPr>
                <w:rFonts w:asciiTheme="minorHAnsi" w:hAnsiTheme="minorHAnsi"/>
                <w:sz w:val="26"/>
                <w:szCs w:val="26"/>
              </w:rPr>
              <w:t>:189</w:t>
            </w:r>
            <w:proofErr w:type="gram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-99. </w:t>
            </w:r>
          </w:p>
          <w:p w:rsidR="00455DFB" w:rsidRPr="00B45870" w:rsidRDefault="006027FA" w:rsidP="006027F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Орлов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Ю.Л. (2014)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Компьютерное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исследование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регуляции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транскрипции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генов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эукариот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с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помощью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данных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экспериментов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секвенирования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и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иммунопреципитации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хроматина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//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Вавиловский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журнал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генетики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 xml:space="preserve"> и </w:t>
            </w:r>
            <w:proofErr w:type="spellStart"/>
            <w:r w:rsidRPr="00B45870">
              <w:rPr>
                <w:rFonts w:ascii="Cambria" w:hAnsi="Cambria"/>
                <w:sz w:val="26"/>
                <w:szCs w:val="26"/>
              </w:rPr>
              <w:t>селекции</w:t>
            </w:r>
            <w:proofErr w:type="spellEnd"/>
            <w:r w:rsidRPr="00B45870">
              <w:rPr>
                <w:rFonts w:ascii="Cambria" w:hAnsi="Cambria"/>
                <w:sz w:val="26"/>
                <w:szCs w:val="26"/>
              </w:rPr>
              <w:t>.  Т. 18, № 1</w:t>
            </w:r>
            <w:proofErr w:type="gramStart"/>
            <w:r w:rsidRPr="00B45870">
              <w:rPr>
                <w:rFonts w:ascii="Cambria" w:hAnsi="Cambria"/>
                <w:sz w:val="26"/>
                <w:szCs w:val="26"/>
              </w:rPr>
              <w:t>,  С</w:t>
            </w:r>
            <w:proofErr w:type="gramEnd"/>
            <w:r w:rsidRPr="00B45870">
              <w:rPr>
                <w:rFonts w:ascii="Cambria" w:hAnsi="Cambria"/>
                <w:sz w:val="26"/>
                <w:szCs w:val="26"/>
              </w:rPr>
              <w:t>. 193-206.</w:t>
            </w:r>
          </w:p>
          <w:p w:rsidR="006027FA" w:rsidRPr="00B45870" w:rsidRDefault="006027FA" w:rsidP="006027F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Kozhevnikova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O.S.,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Korbolina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E.E.,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Stefanova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Muraleva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</w:t>
            </w:r>
            <w:proofErr w:type="gramStart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, 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Kolosova</w:t>
            </w:r>
            <w:proofErr w:type="spellEnd"/>
            <w:proofErr w:type="gram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N.G. (2013) Association of AMD-like retinopathy development with an Alzheimer’s disease metabolic pathway in OXYS rats //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Biogerontology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>. 14(6): 753-62</w:t>
            </w:r>
          </w:p>
          <w:p w:rsidR="006027FA" w:rsidRPr="00B45870" w:rsidRDefault="006027FA" w:rsidP="006027F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Winata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C.L.,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Kondrychyn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I., Kumar V.,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Srinivasan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K.G.,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Ravishankar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Prabhakar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S., Stanton L.W.,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Korzh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V.,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Mathavan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S. (2013) Genome-wide analysis reveals Zic3 interaction with distal regulatory elements of stage specific developmental genes in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zebrafish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>. // PLOS Genetics 9(10): e1003852.</w:t>
            </w:r>
          </w:p>
          <w:p w:rsidR="00510951" w:rsidRPr="00B45870" w:rsidRDefault="00510951" w:rsidP="0051095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Суслов В.В.,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Афонников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Д.А., Подколодный Н.Л., Орлов Ю.Л. (2013) Особенности геномного контекста и GC состав генома прокариот в связи с эволюцией среды обитания // Палеонтологический журнал Т. 47(9), 1056-1060.</w:t>
            </w:r>
          </w:p>
          <w:p w:rsidR="00510951" w:rsidRPr="00B45870" w:rsidRDefault="00510951" w:rsidP="0051095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Матушкин Ю.Г., Левицкий В.Г., Соколов В.С.,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Лихошвай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В.А., Орлов Ю.Л. (2013) Эффективность элонгации генов дрожжей коррелирует с плотностью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нуклеосомной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упаковки в 5’-нетранслируемом районе // Математическая биология и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биоинформатика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. Т.8. </w:t>
            </w:r>
            <w:r w:rsidRPr="00B45870">
              <w:rPr>
                <w:rFonts w:asciiTheme="minorHAnsi" w:hAnsiTheme="minorHAnsi"/>
                <w:sz w:val="26"/>
                <w:szCs w:val="26"/>
              </w:rPr>
              <w:t>No</w:t>
            </w:r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1. С. 248–257.</w:t>
            </w:r>
          </w:p>
          <w:p w:rsidR="00510951" w:rsidRPr="00B45870" w:rsidRDefault="00510951" w:rsidP="0051095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Matushkun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Yu.G</w:t>
            </w:r>
            <w:proofErr w:type="spellEnd"/>
            <w:proofErr w:type="gramStart"/>
            <w:r w:rsidRPr="00B45870">
              <w:rPr>
                <w:rFonts w:asciiTheme="minorHAnsi" w:hAnsiTheme="minorHAnsi"/>
                <w:sz w:val="26"/>
                <w:szCs w:val="26"/>
              </w:rPr>
              <w:t>.,</w:t>
            </w:r>
            <w:proofErr w:type="gram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Levitsky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V.G.,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Yu.L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Likhoshvai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V.A.,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Kolchanov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N.A. (2013) Translation efficiency in yeasts correlates with nucleosome formation in promoters // J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Biomol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Struct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Dyn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>. 31(1): 96-102.</w:t>
            </w:r>
          </w:p>
          <w:p w:rsidR="00510951" w:rsidRPr="00B45870" w:rsidRDefault="00510951" w:rsidP="0051095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r w:rsidRPr="00B45870">
              <w:rPr>
                <w:rFonts w:asciiTheme="minorHAnsi" w:hAnsiTheme="minorHAnsi"/>
                <w:sz w:val="26"/>
                <w:szCs w:val="26"/>
              </w:rPr>
              <w:t xml:space="preserve">Li G.,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Ruan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X.,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Auerbach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R.K.,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Sandhu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K.S.,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Zheng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M., Wang P.,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Poh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H.M.,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Goh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Y., Lim J., Zhang J.,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Sim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H.S.,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Peh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S.Q.,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Mulawadi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F.H.,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Ong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C.T.,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Y.L., Hong S., Zhang Z.,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Landt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S.,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Raha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D.,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Euskirchen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G., Wei C.L.,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Ge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W., Wang H., Davis C., Fisher-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Aylor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K.I.,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Mortazavi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A., Gerstein M.,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Gingeras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T.,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Wold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B., Sun Y.,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Fullwood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M.J., Cheung E., Liu E., Sung W.K., Snyder M.,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Ruan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 (2012) Extensive promoter-centered chromatin interactions provide a topological basis for transcription regulation // Cell. 148(1-2)</w:t>
            </w:r>
            <w:proofErr w:type="gramStart"/>
            <w:r w:rsidRPr="00B45870">
              <w:rPr>
                <w:rFonts w:asciiTheme="minorHAnsi" w:hAnsiTheme="minorHAnsi"/>
                <w:sz w:val="26"/>
                <w:szCs w:val="26"/>
              </w:rPr>
              <w:t>:84</w:t>
            </w:r>
            <w:proofErr w:type="gramEnd"/>
            <w:r w:rsidRPr="00B45870">
              <w:rPr>
                <w:rFonts w:asciiTheme="minorHAnsi" w:hAnsiTheme="minorHAnsi"/>
                <w:sz w:val="26"/>
                <w:szCs w:val="26"/>
              </w:rPr>
              <w:t>-98.</w:t>
            </w:r>
          </w:p>
          <w:p w:rsidR="00510951" w:rsidRPr="00B45870" w:rsidRDefault="00510951" w:rsidP="0051095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Xu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H.,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Afonnikov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D., Lim B.,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Heng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J.C., Yuan P., Chen M., Yan J., Clarke N.,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N., Huss M.,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Gunbin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K.,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Podkolodnyy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N., Ng H.H. (2012) Computer and Statistical Analysis of Transcription Factor Binding and Chromatin Modifications by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ChIP-seq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data in Embryonic Stem Cell // J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Integr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Bioinform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>. 9(2)</w:t>
            </w:r>
            <w:proofErr w:type="gramStart"/>
            <w:r w:rsidRPr="00B45870">
              <w:rPr>
                <w:rFonts w:asciiTheme="minorHAnsi" w:hAnsiTheme="minorHAnsi"/>
                <w:sz w:val="26"/>
                <w:szCs w:val="26"/>
              </w:rPr>
              <w:t>:211</w:t>
            </w:r>
            <w:proofErr w:type="gramEnd"/>
            <w:r w:rsidRPr="00B45870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510951" w:rsidRPr="00B45870" w:rsidRDefault="00510951" w:rsidP="0051095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  <w:lang w:val="ru-RU"/>
              </w:rPr>
            </w:pP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Putta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P.,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Podkolodnyy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N.L.,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Mitra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C.K. (2011) Relatively conserved common short sequences in transcription factor binding sites and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miRNA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. //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Вавиловский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журнал</w:t>
            </w:r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генетики</w:t>
            </w:r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и</w:t>
            </w:r>
            <w:r w:rsidRPr="00B4587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селекции</w:t>
            </w:r>
            <w:r w:rsidRPr="00B45870">
              <w:rPr>
                <w:rFonts w:asciiTheme="minorHAnsi" w:hAnsiTheme="minorHAnsi"/>
                <w:sz w:val="26"/>
                <w:szCs w:val="26"/>
              </w:rPr>
              <w:t xml:space="preserve">.  </w:t>
            </w:r>
            <w:r w:rsidRPr="00B45870">
              <w:rPr>
                <w:rFonts w:asciiTheme="minorHAnsi" w:hAnsiTheme="minorHAnsi"/>
                <w:sz w:val="26"/>
                <w:szCs w:val="26"/>
                <w:lang w:val="ru-RU"/>
              </w:rPr>
              <w:t>Том 15, № 4, Стр. 750-756.</w:t>
            </w:r>
          </w:p>
          <w:p w:rsidR="00510951" w:rsidRPr="00510951" w:rsidRDefault="00510951" w:rsidP="0051095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6"/>
                <w:szCs w:val="26"/>
              </w:rPr>
            </w:pPr>
            <w:r w:rsidRPr="00B45870">
              <w:rPr>
                <w:rFonts w:asciiTheme="minorHAnsi" w:hAnsiTheme="minorHAnsi"/>
                <w:sz w:val="26"/>
                <w:szCs w:val="26"/>
              </w:rPr>
              <w:t xml:space="preserve">Lee K.L., Lim S.K.,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Orlov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Y.L.,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Yit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le Y., Yang H.,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Ang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L.T.,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Poellinger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L., Lim B. (2011) Graded Nodal/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Activin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signaling titrates conversion of quantitative phospho-Smad2 levels into qualitative embryonic stem cell fate decisions. // </w:t>
            </w:r>
            <w:proofErr w:type="spellStart"/>
            <w:r w:rsidRPr="00B45870">
              <w:rPr>
                <w:rFonts w:asciiTheme="minorHAnsi" w:hAnsiTheme="minorHAnsi"/>
                <w:sz w:val="26"/>
                <w:szCs w:val="26"/>
              </w:rPr>
              <w:t>PLoS</w:t>
            </w:r>
            <w:proofErr w:type="spellEnd"/>
            <w:r w:rsidRPr="00B45870">
              <w:rPr>
                <w:rFonts w:asciiTheme="minorHAnsi" w:hAnsiTheme="minorHAnsi"/>
                <w:sz w:val="26"/>
                <w:szCs w:val="26"/>
              </w:rPr>
              <w:t xml:space="preserve"> Genet. 7(6)</w:t>
            </w:r>
            <w:proofErr w:type="gramStart"/>
            <w:r w:rsidRPr="00B45870">
              <w:rPr>
                <w:rFonts w:asciiTheme="minorHAnsi" w:hAnsiTheme="minorHAnsi"/>
                <w:sz w:val="26"/>
                <w:szCs w:val="26"/>
              </w:rPr>
              <w:t>:e1002130</w:t>
            </w:r>
            <w:proofErr w:type="gramEnd"/>
            <w:r w:rsidRPr="00B45870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</w:tr>
    </w:tbl>
    <w:p w:rsidR="00455DFB" w:rsidRPr="001232CC" w:rsidRDefault="00455DFB" w:rsidP="001232CC">
      <w:pPr>
        <w:pStyle w:val="Default"/>
        <w:rPr>
          <w:rFonts w:asciiTheme="minorHAnsi" w:hAnsiTheme="minorHAnsi"/>
        </w:rPr>
      </w:pPr>
    </w:p>
    <w:sectPr w:rsidR="00455DFB" w:rsidRPr="001232CC">
      <w:pgSz w:w="11906" w:h="17338"/>
      <w:pgMar w:top="1062" w:right="734" w:bottom="1134" w:left="15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0B5"/>
    <w:multiLevelType w:val="multilevel"/>
    <w:tmpl w:val="84A4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164F"/>
    <w:multiLevelType w:val="hybridMultilevel"/>
    <w:tmpl w:val="EE62D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8D7EE8"/>
    <w:multiLevelType w:val="hybridMultilevel"/>
    <w:tmpl w:val="C9764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99B"/>
    <w:multiLevelType w:val="hybridMultilevel"/>
    <w:tmpl w:val="46101F72"/>
    <w:lvl w:ilvl="0" w:tplc="BEB25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2C20"/>
    <w:multiLevelType w:val="multilevel"/>
    <w:tmpl w:val="ECA8A2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FB"/>
    <w:rsid w:val="001232CC"/>
    <w:rsid w:val="001E5E05"/>
    <w:rsid w:val="00455DFB"/>
    <w:rsid w:val="00510951"/>
    <w:rsid w:val="006027FA"/>
    <w:rsid w:val="006475FF"/>
    <w:rsid w:val="00B45870"/>
    <w:rsid w:val="00BA3E3D"/>
    <w:rsid w:val="00C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2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5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DF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32C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2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5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DF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32C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4144</Characters>
  <Application>Microsoft Macintosh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Солдатов</dc:creator>
  <cp:keywords/>
  <dc:description/>
  <cp:lastModifiedBy>OZ</cp:lastModifiedBy>
  <cp:revision>2</cp:revision>
  <dcterms:created xsi:type="dcterms:W3CDTF">2016-03-23T15:03:00Z</dcterms:created>
  <dcterms:modified xsi:type="dcterms:W3CDTF">2016-03-23T15:03:00Z</dcterms:modified>
</cp:coreProperties>
</file>