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FA" w:rsidRPr="00F04EFA" w:rsidRDefault="00F04EFA" w:rsidP="00410A26">
      <w:pPr>
        <w:rPr>
          <w:b/>
        </w:rPr>
      </w:pPr>
      <w:r>
        <w:rPr>
          <w:b/>
        </w:rPr>
        <w:t>Влияние отрицания в главном предложении на придаточное: статистика, грамматика, аналогичные явления</w:t>
      </w:r>
    </w:p>
    <w:p w:rsidR="00F04EFA" w:rsidRDefault="00F04EFA" w:rsidP="00410A26"/>
    <w:p w:rsidR="007F7829" w:rsidRDefault="00F04EFA" w:rsidP="00410A26">
      <w:r>
        <w:t>Известной ч</w:t>
      </w:r>
      <w:r w:rsidR="00410A26">
        <w:t xml:space="preserve">ертой отрицания является его воздействие на самые разные характеристики предложения и его компонентов. Например, неоднократно было показано, что </w:t>
      </w:r>
      <w:proofErr w:type="spellStart"/>
      <w:r w:rsidR="00410A26">
        <w:t>референтный</w:t>
      </w:r>
      <w:proofErr w:type="spellEnd"/>
      <w:r w:rsidR="00410A26">
        <w:t xml:space="preserve"> статус именных групп при отрицании вершинного предиката может быть иным, чем без отрицания. Может меняться падежное маркирование – ср., например, объектный и субъектный генитивы при отрицании в русском, других славянских и балтийских языках. Смещается выбор местоимений – например, если преобразовать отрицательную конструкцию </w:t>
      </w:r>
      <w:r w:rsidR="00410A26">
        <w:rPr>
          <w:i/>
        </w:rPr>
        <w:t>Он не увидел там чего-либо подозрительного</w:t>
      </w:r>
      <w:r w:rsidR="00410A26">
        <w:t xml:space="preserve"> в утвердительную, то местоимение </w:t>
      </w:r>
      <w:r w:rsidR="00410A26">
        <w:rPr>
          <w:i/>
        </w:rPr>
        <w:t>что-либо</w:t>
      </w:r>
      <w:r w:rsidR="00410A26">
        <w:t>, скорее всего, будет заменено на другое.</w:t>
      </w:r>
    </w:p>
    <w:p w:rsidR="00410A26" w:rsidRDefault="00410A26" w:rsidP="00410A26">
      <w:r>
        <w:t xml:space="preserve">Сложное предложение также демонстрирует большую зависимость всех частей от отрицания. Так, например, из русской грамматики и работ Н.Р. </w:t>
      </w:r>
      <w:proofErr w:type="spellStart"/>
      <w:r>
        <w:t>Добрушиной</w:t>
      </w:r>
      <w:proofErr w:type="spellEnd"/>
      <w:r>
        <w:t xml:space="preserve"> известно, что некоторые глаголы типа </w:t>
      </w:r>
      <w:r>
        <w:rPr>
          <w:i/>
        </w:rPr>
        <w:t xml:space="preserve">думать </w:t>
      </w:r>
      <w:r>
        <w:t xml:space="preserve">или </w:t>
      </w:r>
      <w:r>
        <w:rPr>
          <w:i/>
        </w:rPr>
        <w:t>помнить</w:t>
      </w:r>
      <w:r>
        <w:t xml:space="preserve"> могут сочетаться с союзом </w:t>
      </w:r>
      <w:r>
        <w:rPr>
          <w:i/>
        </w:rPr>
        <w:t xml:space="preserve">чтобы </w:t>
      </w:r>
      <w:r>
        <w:t>только при отрицании (</w:t>
      </w:r>
      <w:r>
        <w:rPr>
          <w:i/>
        </w:rPr>
        <w:t>Не думаю, чтобы мы ошибались</w:t>
      </w:r>
      <w:r>
        <w:t xml:space="preserve">, но невозможно </w:t>
      </w:r>
      <w:proofErr w:type="gramStart"/>
      <w:r>
        <w:rPr>
          <w:i/>
        </w:rPr>
        <w:t>Думаю</w:t>
      </w:r>
      <w:proofErr w:type="gramEnd"/>
      <w:r>
        <w:rPr>
          <w:i/>
        </w:rPr>
        <w:t>, чтобы мы ошибались</w:t>
      </w:r>
      <w:r>
        <w:t xml:space="preserve">). Е.В. Падучева показывает, что сослагательное наклонение в относительных придаточных допустимо в отрицательных предложениях гораздо шире, чем без него (ср. </w:t>
      </w:r>
      <w:r>
        <w:rPr>
          <w:i/>
        </w:rPr>
        <w:t>Я не знаю другого человека, который был бы так же предан науке</w:t>
      </w:r>
      <w:r>
        <w:t xml:space="preserve">, но невозможно </w:t>
      </w:r>
      <w:proofErr w:type="gramStart"/>
      <w:r>
        <w:rPr>
          <w:i/>
        </w:rPr>
        <w:t>Я</w:t>
      </w:r>
      <w:proofErr w:type="gramEnd"/>
      <w:r>
        <w:rPr>
          <w:i/>
        </w:rPr>
        <w:t xml:space="preserve"> знаю другого человека, который был бы также предан науке</w:t>
      </w:r>
      <w:r>
        <w:t>).</w:t>
      </w:r>
    </w:p>
    <w:p w:rsidR="00B34AB7" w:rsidRDefault="00410A26" w:rsidP="00410A26">
      <w:r>
        <w:t xml:space="preserve">В нашем докладе мы сосредоточимся на взаимодействии отрицания в главном предложении со свойствами </w:t>
      </w:r>
      <w:r w:rsidR="007858F8">
        <w:t xml:space="preserve">придаточного – а именно, речь идёт об актантных придаточных. </w:t>
      </w:r>
      <w:r w:rsidR="00B34AB7">
        <w:t>При этом внимание будет обращаться как на грамматические разрешения и запреты, так и на статистические тенденции.</w:t>
      </w:r>
    </w:p>
    <w:p w:rsidR="00747277" w:rsidRDefault="007858F8" w:rsidP="00410A26">
      <w:r>
        <w:t>Неожиданным образом, оказ</w:t>
      </w:r>
      <w:r w:rsidR="00B34AB7">
        <w:t xml:space="preserve">ывается, что просто учесть отрицание как единый фактор недостаточно. Выясняется, что в разных случаях и при разных лексемах отрицание может действовать «в разные стороны» - например, либо повышать степень приемлемости союза </w:t>
      </w:r>
      <w:r w:rsidR="00B34AB7">
        <w:rPr>
          <w:i/>
        </w:rPr>
        <w:t>чтобы</w:t>
      </w:r>
      <w:r w:rsidR="00747277">
        <w:t xml:space="preserve">, </w:t>
      </w:r>
      <w:r w:rsidR="00747277">
        <w:rPr>
          <w:i/>
        </w:rPr>
        <w:t xml:space="preserve">что </w:t>
      </w:r>
      <w:r w:rsidR="00747277">
        <w:t>или инфинитива</w:t>
      </w:r>
      <w:r w:rsidR="00B34AB7">
        <w:t>, либо понижать её</w:t>
      </w:r>
      <w:proofErr w:type="gramStart"/>
      <w:r w:rsidR="00747277">
        <w:t xml:space="preserve">. </w:t>
      </w:r>
      <w:proofErr w:type="gramEnd"/>
      <w:r w:rsidR="00747277">
        <w:t xml:space="preserve">Так, наряду с глаголами типа </w:t>
      </w:r>
      <w:r w:rsidR="00747277">
        <w:rPr>
          <w:i/>
        </w:rPr>
        <w:t>помнить</w:t>
      </w:r>
      <w:r w:rsidR="00747277">
        <w:t xml:space="preserve">, которые употребляются со </w:t>
      </w:r>
      <w:r w:rsidR="00747277">
        <w:rPr>
          <w:i/>
        </w:rPr>
        <w:t xml:space="preserve">чтобы </w:t>
      </w:r>
      <w:r w:rsidR="00747277">
        <w:t xml:space="preserve">обычно при отрицании, есть </w:t>
      </w:r>
      <w:proofErr w:type="spellStart"/>
      <w:r w:rsidR="00747277">
        <w:t>предикатив</w:t>
      </w:r>
      <w:proofErr w:type="spellEnd"/>
      <w:r w:rsidR="00747277">
        <w:t xml:space="preserve"> </w:t>
      </w:r>
      <w:r w:rsidR="00747277">
        <w:rPr>
          <w:i/>
        </w:rPr>
        <w:t>важно</w:t>
      </w:r>
      <w:r w:rsidR="00747277">
        <w:t xml:space="preserve">, который употребляется со </w:t>
      </w:r>
      <w:r w:rsidR="00747277">
        <w:rPr>
          <w:i/>
        </w:rPr>
        <w:t xml:space="preserve">чтобы </w:t>
      </w:r>
      <w:r w:rsidR="00747277">
        <w:t xml:space="preserve">без отрицания, а в форме </w:t>
      </w:r>
      <w:r w:rsidR="00747277">
        <w:rPr>
          <w:i/>
        </w:rPr>
        <w:t xml:space="preserve">неважно </w:t>
      </w:r>
      <w:r w:rsidR="00747277">
        <w:t xml:space="preserve">крайне редко комбинируется со </w:t>
      </w:r>
      <w:r w:rsidR="00747277">
        <w:rPr>
          <w:i/>
        </w:rPr>
        <w:t xml:space="preserve">чтобы </w:t>
      </w:r>
      <w:r w:rsidR="00747277">
        <w:t>(</w:t>
      </w:r>
      <w:r w:rsidR="00747277">
        <w:rPr>
          <w:i/>
        </w:rPr>
        <w:t>Важно, чтобы ты это сделал / ?</w:t>
      </w:r>
      <w:bookmarkStart w:id="0" w:name="_GoBack"/>
      <w:bookmarkEnd w:id="0"/>
      <w:r w:rsidR="00747277">
        <w:rPr>
          <w:i/>
        </w:rPr>
        <w:t>?Неважно, чтобы ты это сделал</w:t>
      </w:r>
      <w:r w:rsidR="00747277">
        <w:t>).</w:t>
      </w:r>
    </w:p>
    <w:p w:rsidR="00410A26" w:rsidRDefault="00747277" w:rsidP="00410A26">
      <w:r>
        <w:t>Это означает, что о</w:t>
      </w:r>
      <w:r w:rsidR="00B34AB7">
        <w:t>писывать воздействие отрицания на маркирование придаточного предложения можно, только принимая во внимание другие факторы:</w:t>
      </w:r>
    </w:p>
    <w:p w:rsidR="00B34AB7" w:rsidRDefault="00B34AB7" w:rsidP="00410A26">
      <w:r>
        <w:t>- лексическую семантику главного глагола</w:t>
      </w:r>
      <w:r w:rsidR="00747277">
        <w:t xml:space="preserve"> или </w:t>
      </w:r>
      <w:proofErr w:type="spellStart"/>
      <w:r w:rsidR="00747277">
        <w:t>предикатива</w:t>
      </w:r>
      <w:proofErr w:type="spellEnd"/>
    </w:p>
    <w:p w:rsidR="00B34AB7" w:rsidRDefault="00B34AB7" w:rsidP="00410A26">
      <w:r>
        <w:t>- особенности стратегии маркирования сентенциального актанта</w:t>
      </w:r>
    </w:p>
    <w:p w:rsidR="00B34AB7" w:rsidRDefault="00B34AB7" w:rsidP="00410A26">
      <w:r>
        <w:t>Тем не менее, нельзя также сказать, что грамматические и статистические явления, о которых я буду говорить, представляют собой хаотично разбросанные факты языка. В действительности можно продемонстрировать, что на данные факты влияют некоторые общие закономерности поведения конструкций с сентенциальными актантами при отрицании.</w:t>
      </w:r>
    </w:p>
    <w:p w:rsidR="00F04EFA" w:rsidRPr="00B34AB7" w:rsidRDefault="00F04EFA" w:rsidP="00410A26">
      <w:r>
        <w:t>В заключительной части мы покажем, что на самом деле влияние отрицания на поведение частей сложного предложения не уникально. Например, наклонение главного предложения тоже сильно влияет на придаточное – в особенности это заметно на материале предложений, где главный глагол стоит в форме императива.</w:t>
      </w:r>
    </w:p>
    <w:sectPr w:rsidR="00F04EFA" w:rsidRPr="00B3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26"/>
    <w:rsid w:val="00410A26"/>
    <w:rsid w:val="00747277"/>
    <w:rsid w:val="007858F8"/>
    <w:rsid w:val="00B25349"/>
    <w:rsid w:val="00B34AB7"/>
    <w:rsid w:val="00EE27F0"/>
    <w:rsid w:val="00F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5AF"/>
  <w15:chartTrackingRefBased/>
  <w15:docId w15:val="{3673F8BC-1C66-4BE8-80CD-BA25123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Letuchiy</dc:creator>
  <cp:keywords/>
  <dc:description/>
  <cp:lastModifiedBy>Alexander Letuchiy</cp:lastModifiedBy>
  <cp:revision>4</cp:revision>
  <dcterms:created xsi:type="dcterms:W3CDTF">2017-10-16T14:20:00Z</dcterms:created>
  <dcterms:modified xsi:type="dcterms:W3CDTF">2017-10-17T09:18:00Z</dcterms:modified>
</cp:coreProperties>
</file>