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4BCFD" w14:textId="532588ED" w:rsidR="001163D7" w:rsidRPr="00A73F32" w:rsidRDefault="00980A13">
      <w:pPr>
        <w:pStyle w:val="Standard"/>
        <w:rPr>
          <w:rFonts w:ascii="Times New Roman" w:hAnsi="Times New Roman" w:cs="Times New Roman"/>
          <w:lang w:val="ru-RU"/>
        </w:rPr>
      </w:pPr>
      <w:r w:rsidRPr="00A73F32">
        <w:rPr>
          <w:rFonts w:ascii="Times New Roman" w:hAnsi="Times New Roman" w:cs="Times New Roman"/>
          <w:b/>
          <w:bCs/>
          <w:color w:val="00000A"/>
          <w:lang w:val="ru-RU"/>
        </w:rPr>
        <w:t xml:space="preserve"> «Спецкурс – Механико-математический факультет»</w:t>
      </w:r>
      <w:r w:rsidR="00A73F32" w:rsidRPr="00A73F32">
        <w:rPr>
          <w:rFonts w:ascii="Times New Roman" w:hAnsi="Times New Roman" w:cs="Times New Roman"/>
          <w:b/>
          <w:bCs/>
          <w:color w:val="00000A"/>
          <w:lang w:val="ru-RU"/>
        </w:rPr>
        <w:t xml:space="preserve">, </w:t>
      </w:r>
      <w:r w:rsidR="00A73F32">
        <w:rPr>
          <w:rFonts w:ascii="Times New Roman" w:hAnsi="Times New Roman" w:cs="Times New Roman"/>
          <w:b/>
          <w:bCs/>
          <w:color w:val="00000A"/>
          <w:lang w:val="ru-RU"/>
        </w:rPr>
        <w:t>Стохастические дифференциальные уравнения</w:t>
      </w:r>
    </w:p>
    <w:p w14:paraId="2FF2F7D9" w14:textId="30D34E7D" w:rsidR="001163D7" w:rsidRDefault="00A73F32">
      <w:pPr>
        <w:pStyle w:val="Standard"/>
        <w:rPr>
          <w:rFonts w:ascii="Times New Roman" w:hAnsi="Times New Roman" w:cs="Times New Roman"/>
          <w:i/>
          <w:iCs/>
          <w:color w:val="00000A"/>
          <w:lang w:val="ru-RU"/>
        </w:rPr>
      </w:pPr>
      <w:r w:rsidRPr="00A73F32">
        <w:rPr>
          <w:rFonts w:ascii="Times New Roman" w:hAnsi="Times New Roman" w:cs="Times New Roman"/>
          <w:b/>
          <w:bCs/>
          <w:i/>
          <w:iCs/>
          <w:color w:val="00000A"/>
          <w:lang w:val="ru-RU"/>
        </w:rPr>
        <w:t xml:space="preserve">Лектор: </w:t>
      </w:r>
      <w:r w:rsidR="00980A13" w:rsidRPr="00A73F32">
        <w:rPr>
          <w:rFonts w:ascii="Times New Roman" w:hAnsi="Times New Roman" w:cs="Times New Roman"/>
          <w:i/>
          <w:iCs/>
          <w:color w:val="00000A"/>
          <w:lang w:val="ru-RU"/>
        </w:rPr>
        <w:t>Веретенников Александр Юрьевич</w:t>
      </w:r>
    </w:p>
    <w:p w14:paraId="3576ECC0" w14:textId="2E654556" w:rsidR="001E7354" w:rsidRDefault="001E7354">
      <w:pPr>
        <w:pStyle w:val="Standard"/>
        <w:rPr>
          <w:rFonts w:ascii="Times New Roman" w:hAnsi="Times New Roman" w:cs="Times New Roman"/>
          <w:i/>
          <w:iCs/>
          <w:color w:val="00000A"/>
          <w:lang w:val="ru-RU"/>
        </w:rPr>
      </w:pPr>
    </w:p>
    <w:p w14:paraId="7E21C7EF" w14:textId="174CB5D7" w:rsidR="001E7354" w:rsidRPr="001E7354" w:rsidRDefault="001E7354">
      <w:pPr>
        <w:pStyle w:val="Standard"/>
        <w:rPr>
          <w:rFonts w:ascii="Times New Roman" w:hAnsi="Times New Roman" w:cs="Times New Roman"/>
          <w:b/>
          <w:bCs/>
          <w:lang w:val="ru-RU"/>
        </w:rPr>
      </w:pPr>
      <w:r w:rsidRPr="001E7354">
        <w:rPr>
          <w:rFonts w:ascii="Times New Roman" w:hAnsi="Times New Roman" w:cs="Times New Roman"/>
          <w:b/>
          <w:bCs/>
          <w:lang w:val="ru-RU"/>
        </w:rPr>
        <w:t>Резюме:</w:t>
      </w:r>
    </w:p>
    <w:p w14:paraId="74E8AE60" w14:textId="7A0EB498" w:rsidR="001E7354" w:rsidRDefault="001E7354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Полугодовой спецкурс читается для студентов кафедры теории вероятностей на пятом курсе, уже прослушавших основы стохастического интегрирования</w:t>
      </w:r>
      <w:r w:rsidR="006C2478">
        <w:rPr>
          <w:rFonts w:ascii="Times New Roman" w:hAnsi="Times New Roman" w:cs="Times New Roman"/>
          <w:lang w:val="ru-RU"/>
        </w:rPr>
        <w:t xml:space="preserve">, и </w:t>
      </w:r>
      <w:r>
        <w:rPr>
          <w:rFonts w:ascii="Times New Roman" w:hAnsi="Times New Roman" w:cs="Times New Roman"/>
          <w:lang w:val="ru-RU"/>
        </w:rPr>
        <w:t>лишь перв</w:t>
      </w:r>
      <w:r w:rsidR="00EA2696">
        <w:rPr>
          <w:rFonts w:ascii="Times New Roman" w:hAnsi="Times New Roman" w:cs="Times New Roman"/>
          <w:lang w:val="ru-RU"/>
        </w:rPr>
        <w:t>ые полторы</w:t>
      </w:r>
      <w:r>
        <w:rPr>
          <w:rFonts w:ascii="Times New Roman" w:hAnsi="Times New Roman" w:cs="Times New Roman"/>
          <w:lang w:val="ru-RU"/>
        </w:rPr>
        <w:t xml:space="preserve"> лекци</w:t>
      </w:r>
      <w:r w:rsidR="00EA2696"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cs="Times New Roman"/>
          <w:lang w:val="ru-RU"/>
        </w:rPr>
        <w:t xml:space="preserve"> посвящен</w:t>
      </w:r>
      <w:r w:rsidR="00EA2696">
        <w:rPr>
          <w:rFonts w:ascii="Times New Roman" w:hAnsi="Times New Roman" w:cs="Times New Roman"/>
          <w:lang w:val="ru-RU"/>
        </w:rPr>
        <w:t>ы</w:t>
      </w:r>
      <w:r>
        <w:rPr>
          <w:rFonts w:ascii="Times New Roman" w:hAnsi="Times New Roman" w:cs="Times New Roman"/>
          <w:lang w:val="ru-RU"/>
        </w:rPr>
        <w:t xml:space="preserve"> краткому повторению этих основ</w:t>
      </w:r>
      <w:r w:rsidR="006C2478" w:rsidRPr="006C2478">
        <w:rPr>
          <w:rFonts w:ascii="Times New Roman" w:hAnsi="Times New Roman" w:cs="Times New Roman"/>
          <w:lang w:val="ru-RU"/>
        </w:rPr>
        <w:t>*</w:t>
      </w:r>
      <w:r>
        <w:rPr>
          <w:rFonts w:ascii="Times New Roman" w:hAnsi="Times New Roman" w:cs="Times New Roman"/>
          <w:lang w:val="ru-RU"/>
        </w:rPr>
        <w:t xml:space="preserve">. Целью курса является более глубокое введение в современную теорию стохастических дифференциальных уравнений (СДУ) Ито, включающую такие разделы, как сильные и слабые решения, связи СДУ с уравнениями в частных производных, элементы стохастического управления с уравнением Беллмана, уравнение Пуассона «во всем пространстве», элементы теории оптимальной остановки, обратные СДУ </w:t>
      </w:r>
      <w:proofErr w:type="spellStart"/>
      <w:r>
        <w:rPr>
          <w:rFonts w:ascii="Times New Roman" w:hAnsi="Times New Roman" w:cs="Times New Roman"/>
          <w:lang w:val="ru-RU"/>
        </w:rPr>
        <w:t>Парду</w:t>
      </w:r>
      <w:proofErr w:type="spellEnd"/>
      <w:r>
        <w:rPr>
          <w:rFonts w:ascii="Times New Roman" w:hAnsi="Times New Roman" w:cs="Times New Roman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lang w:val="ru-RU"/>
        </w:rPr>
        <w:t>Пенга</w:t>
      </w:r>
      <w:proofErr w:type="spellEnd"/>
      <w:r>
        <w:rPr>
          <w:rFonts w:ascii="Times New Roman" w:hAnsi="Times New Roman" w:cs="Times New Roman"/>
          <w:lang w:val="ru-RU"/>
        </w:rPr>
        <w:t xml:space="preserve"> и их связь с оптимальным управлением. </w:t>
      </w:r>
    </w:p>
    <w:p w14:paraId="0B2C968A" w14:textId="77777777" w:rsidR="006C2478" w:rsidRDefault="006C2478">
      <w:pPr>
        <w:pStyle w:val="Standard"/>
        <w:rPr>
          <w:rFonts w:ascii="Times New Roman" w:hAnsi="Times New Roman" w:cs="Times New Roman"/>
          <w:lang w:val="fr-FR"/>
        </w:rPr>
      </w:pPr>
    </w:p>
    <w:p w14:paraId="38D0A26E" w14:textId="4C3C2EEB" w:rsidR="006C2478" w:rsidRPr="00A97808" w:rsidRDefault="006C2478">
      <w:pPr>
        <w:pStyle w:val="Standard"/>
        <w:rPr>
          <w:rFonts w:ascii="Times New Roman" w:hAnsi="Times New Roman" w:cs="Times New Roman"/>
          <w:lang w:val="ru-RU"/>
        </w:rPr>
      </w:pPr>
      <w:r w:rsidRPr="006C2478">
        <w:rPr>
          <w:rFonts w:ascii="Times New Roman" w:hAnsi="Times New Roman" w:cs="Times New Roman"/>
          <w:lang w:val="ru-RU"/>
        </w:rPr>
        <w:t>*</w:t>
      </w:r>
      <w:r>
        <w:rPr>
          <w:rFonts w:ascii="Times New Roman" w:hAnsi="Times New Roman" w:cs="Times New Roman"/>
          <w:lang w:val="ru-RU"/>
        </w:rPr>
        <w:t xml:space="preserve">Желающие освежить в своей памяти эти основы студенты приглашены к онлайн-участию в первой части (17-21/08) Новосибирской летней вероятностной школы 17 – 29.08.2021 </w:t>
      </w:r>
      <w:hyperlink r:id="rId7" w:history="1">
        <w:r w:rsidRPr="008D4B74">
          <w:rPr>
            <w:rStyle w:val="Hyperlink"/>
            <w:rFonts w:ascii="Times New Roman" w:hAnsi="Times New Roman" w:cs="Times New Roman"/>
            <w:lang w:val="ru-RU"/>
          </w:rPr>
          <w:t>http://www.math.nsc.ru/LBRT/v1/school2021summer/index.html</w:t>
        </w:r>
      </w:hyperlink>
      <w:r>
        <w:rPr>
          <w:rFonts w:ascii="Times New Roman" w:hAnsi="Times New Roman" w:cs="Times New Roman"/>
          <w:lang w:val="ru-RU"/>
        </w:rPr>
        <w:t xml:space="preserve"> </w:t>
      </w:r>
      <w:r w:rsidR="00A97808" w:rsidRPr="00A97808">
        <w:rPr>
          <w:rFonts w:ascii="Times New Roman" w:hAnsi="Times New Roman" w:cs="Times New Roman"/>
          <w:lang w:val="ru-RU"/>
        </w:rPr>
        <w:t>(</w:t>
      </w:r>
      <w:r w:rsidR="00C0759B">
        <w:rPr>
          <w:rFonts w:ascii="Times New Roman" w:hAnsi="Times New Roman" w:cs="Times New Roman"/>
          <w:lang w:val="ru-RU"/>
        </w:rPr>
        <w:t xml:space="preserve">требуется </w:t>
      </w:r>
      <w:r w:rsidR="00C0759B">
        <w:rPr>
          <w:rFonts w:ascii="Times New Roman" w:hAnsi="Times New Roman" w:cs="Times New Roman"/>
          <w:lang w:val="ru-RU"/>
        </w:rPr>
        <w:t>бесплатная</w:t>
      </w:r>
      <w:r w:rsidR="00C0759B">
        <w:rPr>
          <w:rFonts w:ascii="Times New Roman" w:hAnsi="Times New Roman" w:cs="Times New Roman"/>
          <w:lang w:val="ru-RU"/>
        </w:rPr>
        <w:t xml:space="preserve"> </w:t>
      </w:r>
      <w:r w:rsidR="00A97808">
        <w:rPr>
          <w:rFonts w:ascii="Times New Roman" w:hAnsi="Times New Roman" w:cs="Times New Roman"/>
          <w:lang w:val="ru-RU"/>
        </w:rPr>
        <w:t>регистраци</w:t>
      </w:r>
      <w:r w:rsidR="00C0759B">
        <w:rPr>
          <w:rFonts w:ascii="Times New Roman" w:hAnsi="Times New Roman" w:cs="Times New Roman"/>
          <w:lang w:val="ru-RU"/>
        </w:rPr>
        <w:t>я</w:t>
      </w:r>
      <w:r w:rsidR="00A97808" w:rsidRPr="00A97808">
        <w:rPr>
          <w:rFonts w:ascii="Times New Roman" w:hAnsi="Times New Roman" w:cs="Times New Roman"/>
          <w:lang w:val="ru-RU"/>
        </w:rPr>
        <w:t>)</w:t>
      </w:r>
    </w:p>
    <w:p w14:paraId="721165FE" w14:textId="77777777" w:rsidR="001163D7" w:rsidRPr="001E7354" w:rsidRDefault="001163D7">
      <w:pPr>
        <w:pStyle w:val="Standard"/>
        <w:rPr>
          <w:rFonts w:ascii="Times New Roman" w:hAnsi="Times New Roman" w:cs="Times New Roman"/>
          <w:color w:val="00000A"/>
          <w:lang w:val="ru-RU"/>
        </w:rPr>
      </w:pPr>
    </w:p>
    <w:p w14:paraId="2082AFA5" w14:textId="17F2956D" w:rsidR="001163D7" w:rsidRPr="001E7354" w:rsidRDefault="00980A13">
      <w:pPr>
        <w:pStyle w:val="Standard"/>
        <w:rPr>
          <w:rFonts w:ascii="Times New Roman" w:hAnsi="Times New Roman" w:cs="Times New Roman"/>
          <w:b/>
          <w:bCs/>
          <w:color w:val="00000A"/>
          <w:u w:val="single"/>
          <w:lang w:val="ru-RU"/>
        </w:rPr>
      </w:pPr>
      <w:r w:rsidRPr="001E7354">
        <w:rPr>
          <w:rFonts w:ascii="Times New Roman" w:hAnsi="Times New Roman" w:cs="Times New Roman"/>
          <w:b/>
          <w:bCs/>
          <w:color w:val="00000A"/>
          <w:u w:val="single"/>
          <w:lang w:val="ru-RU"/>
        </w:rPr>
        <w:t>П</w:t>
      </w:r>
      <w:r w:rsidR="001E7354">
        <w:rPr>
          <w:rFonts w:ascii="Times New Roman" w:hAnsi="Times New Roman" w:cs="Times New Roman"/>
          <w:b/>
          <w:bCs/>
          <w:color w:val="00000A"/>
          <w:u w:val="single"/>
          <w:lang w:val="ru-RU"/>
        </w:rPr>
        <w:t>рограмма</w:t>
      </w:r>
      <w:r w:rsidRPr="001E7354">
        <w:rPr>
          <w:rFonts w:ascii="Times New Roman" w:hAnsi="Times New Roman" w:cs="Times New Roman"/>
          <w:b/>
          <w:bCs/>
          <w:color w:val="00000A"/>
          <w:u w:val="single"/>
          <w:lang w:val="ru-RU"/>
        </w:rPr>
        <w:t xml:space="preserve"> Курса</w:t>
      </w:r>
    </w:p>
    <w:p w14:paraId="0B2FEB02" w14:textId="485761D3" w:rsidR="00A73F32" w:rsidRPr="001E7354" w:rsidRDefault="00A73F32">
      <w:pPr>
        <w:pStyle w:val="Standard"/>
        <w:rPr>
          <w:rFonts w:ascii="Times New Roman" w:hAnsi="Times New Roman" w:cs="Times New Roman"/>
          <w:b/>
          <w:bCs/>
          <w:color w:val="00000A"/>
          <w:u w:val="single"/>
          <w:lang w:val="ru-RU"/>
        </w:rPr>
      </w:pPr>
    </w:p>
    <w:p w14:paraId="48CFF5E6" w14:textId="77777777" w:rsidR="00A73F32" w:rsidRPr="00A73F32" w:rsidRDefault="00A73F32" w:rsidP="00A73F32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</w:rPr>
      </w:pPr>
      <w:r w:rsidRPr="00A73F32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val="ru-RU" w:eastAsia="en-GB"/>
        </w:rPr>
        <w:t xml:space="preserve">1: Повторение: Интеграл Ито, его свойства; формула Ито; </w:t>
      </w:r>
      <w:proofErr w:type="spellStart"/>
      <w:r w:rsidRPr="00A73F32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val="ru-RU" w:eastAsia="en-GB"/>
        </w:rPr>
        <w:t>мартингальные</w:t>
      </w:r>
      <w:proofErr w:type="spellEnd"/>
      <w:r w:rsidRPr="00A73F32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val="ru-RU" w:eastAsia="en-GB"/>
        </w:rPr>
        <w:t xml:space="preserve"> неравенства Дуба и Дуба – Колмогорова; теорема Ито о существовании сильного решения СДУ и о непрерывной зависимости от начального условия (</w:t>
      </w:r>
      <w:proofErr w:type="spellStart"/>
      <w:r w:rsidRPr="00A73F32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val="ru-RU" w:eastAsia="en-GB"/>
        </w:rPr>
        <w:t>н.у</w:t>
      </w:r>
      <w:proofErr w:type="spellEnd"/>
      <w:r w:rsidRPr="00A73F32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val="ru-RU" w:eastAsia="en-GB"/>
        </w:rPr>
        <w:t>.).</w:t>
      </w:r>
    </w:p>
    <w:p w14:paraId="2CF8CB51" w14:textId="4FC035F3" w:rsidR="00A73F32" w:rsidRPr="00A73F32" w:rsidRDefault="00A73F32" w:rsidP="00A73F32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</w:rPr>
      </w:pPr>
      <w:r w:rsidRPr="00A73F32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val="ru-RU" w:eastAsia="en-GB"/>
        </w:rPr>
        <w:t xml:space="preserve">2: Марковское свойство решений СДУ; стохастические экспоненты; теорема </w:t>
      </w:r>
      <w:proofErr w:type="spellStart"/>
      <w:r w:rsidRPr="00A73F32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val="ru-RU" w:eastAsia="en-GB"/>
        </w:rPr>
        <w:t>Гирсанова</w:t>
      </w:r>
      <w:proofErr w:type="spellEnd"/>
      <w:r w:rsidRPr="00A73F32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val="ru-RU" w:eastAsia="en-GB"/>
        </w:rPr>
        <w:t>; экспоненциальные неравенства; условия типа Новикова; понятие о слабых решениях.</w:t>
      </w:r>
    </w:p>
    <w:p w14:paraId="5F9C9F57" w14:textId="27237B7C" w:rsidR="00A73F32" w:rsidRPr="00A73F32" w:rsidRDefault="00A73F32" w:rsidP="00A73F32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</w:rPr>
      </w:pPr>
      <w:r w:rsidRPr="00A73F32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val="ru-RU" w:eastAsia="en-GB"/>
        </w:rPr>
        <w:t xml:space="preserve">3: Сильные решения, принцип </w:t>
      </w:r>
      <w:proofErr w:type="spellStart"/>
      <w:r w:rsidRPr="00A73F32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val="ru-RU" w:eastAsia="en-GB"/>
        </w:rPr>
        <w:t>Ямада</w:t>
      </w:r>
      <w:proofErr w:type="spellEnd"/>
      <w:r w:rsidRPr="00A73F32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val="ru-RU" w:eastAsia="en-GB"/>
        </w:rPr>
        <w:t xml:space="preserve"> – Ватанабе, теоремы </w:t>
      </w:r>
      <w:proofErr w:type="spellStart"/>
      <w:r w:rsidRPr="00A73F32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val="ru-RU" w:eastAsia="en-GB"/>
        </w:rPr>
        <w:t>Ямада</w:t>
      </w:r>
      <w:proofErr w:type="spellEnd"/>
      <w:r w:rsidRPr="00A73F32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val="ru-RU" w:eastAsia="en-GB"/>
        </w:rPr>
        <w:t xml:space="preserve"> – Ватанабе, </w:t>
      </w:r>
      <w:proofErr w:type="spellStart"/>
      <w:r w:rsidRPr="00A73F32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val="ru-RU" w:eastAsia="en-GB"/>
        </w:rPr>
        <w:t>Накао</w:t>
      </w:r>
      <w:proofErr w:type="spellEnd"/>
      <w:r w:rsidRPr="00A73F32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val="ru-RU" w:eastAsia="en-GB"/>
        </w:rPr>
        <w:t xml:space="preserve">, </w:t>
      </w:r>
      <w:proofErr w:type="spellStart"/>
      <w:r w:rsidRPr="00A73F32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val="ru-RU" w:eastAsia="en-GB"/>
        </w:rPr>
        <w:t>Звонкина</w:t>
      </w:r>
      <w:proofErr w:type="spellEnd"/>
      <w:r w:rsidRPr="00A73F32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val="ru-RU" w:eastAsia="en-GB"/>
        </w:rPr>
        <w:t>, автора, последние достижен</w:t>
      </w:r>
      <w:r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val="ru-RU" w:eastAsia="en-GB"/>
        </w:rPr>
        <w:t>и</w:t>
      </w:r>
      <w:r w:rsidRPr="00A73F32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val="ru-RU" w:eastAsia="en-GB"/>
        </w:rPr>
        <w:t>я; теоремы сравнения.</w:t>
      </w:r>
    </w:p>
    <w:p w14:paraId="4B04A1C8" w14:textId="77777777" w:rsidR="00A73F32" w:rsidRPr="00A73F32" w:rsidRDefault="00A73F32" w:rsidP="00A73F32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</w:rPr>
      </w:pPr>
      <w:r w:rsidRPr="00A73F32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val="ru-RU" w:eastAsia="en-GB"/>
        </w:rPr>
        <w:t>4: Оценки Крылова, формула Ито-Крылова для функций с соболевскими производными. Слабые решения по Скороходу и Крылову.</w:t>
      </w:r>
    </w:p>
    <w:p w14:paraId="42080D3A" w14:textId="77777777" w:rsidR="00A73F32" w:rsidRPr="00A73F32" w:rsidRDefault="00A73F32" w:rsidP="00A73F32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</w:rPr>
      </w:pPr>
      <w:r w:rsidRPr="00A73F32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val="ru-RU" w:eastAsia="en-GB"/>
        </w:rPr>
        <w:t xml:space="preserve">5: Слабые решения: случайная замена времени; </w:t>
      </w:r>
      <w:proofErr w:type="spellStart"/>
      <w:r w:rsidRPr="00A73F32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val="ru-RU" w:eastAsia="en-GB"/>
        </w:rPr>
        <w:t>характеризация</w:t>
      </w:r>
      <w:proofErr w:type="spellEnd"/>
      <w:r w:rsidRPr="00A73F32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val="ru-RU" w:eastAsia="en-GB"/>
        </w:rPr>
        <w:t xml:space="preserve"> Леви </w:t>
      </w:r>
      <w:proofErr w:type="spellStart"/>
      <w:r w:rsidRPr="00A73F32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val="ru-RU" w:eastAsia="en-GB"/>
        </w:rPr>
        <w:t>винеровского</w:t>
      </w:r>
      <w:proofErr w:type="spellEnd"/>
      <w:r w:rsidRPr="00A73F32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val="ru-RU" w:eastAsia="en-GB"/>
        </w:rPr>
        <w:t xml:space="preserve"> процесса (многомерный случай); метод «проблемы мартингалов»; одномерный пример </w:t>
      </w:r>
      <w:proofErr w:type="spellStart"/>
      <w:r w:rsidRPr="00A73F32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val="ru-RU" w:eastAsia="en-GB"/>
        </w:rPr>
        <w:t>Танаки</w:t>
      </w:r>
      <w:proofErr w:type="spellEnd"/>
      <w:r w:rsidRPr="00A73F32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val="ru-RU" w:eastAsia="en-GB"/>
        </w:rPr>
        <w:t>; двумерный пример Крылова.</w:t>
      </w:r>
    </w:p>
    <w:p w14:paraId="5E800E49" w14:textId="77777777" w:rsidR="00A73F32" w:rsidRPr="00A73F32" w:rsidRDefault="00A73F32" w:rsidP="00A73F32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</w:rPr>
      </w:pPr>
      <w:r w:rsidRPr="00A73F32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val="ru-RU" w:eastAsia="en-GB"/>
        </w:rPr>
        <w:t>6: СДУ с отражением на прямой и в (многомерной) области; задача Скорохода.</w:t>
      </w:r>
    </w:p>
    <w:p w14:paraId="6BEEE48C" w14:textId="77777777" w:rsidR="00A73F32" w:rsidRPr="00A73F32" w:rsidRDefault="00A73F32" w:rsidP="00A73F32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</w:rPr>
      </w:pPr>
      <w:r w:rsidRPr="00A73F32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val="ru-RU" w:eastAsia="en-GB"/>
        </w:rPr>
        <w:t xml:space="preserve">7: Связь </w:t>
      </w:r>
      <w:proofErr w:type="spellStart"/>
      <w:r w:rsidRPr="00A73F32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val="ru-RU" w:eastAsia="en-GB"/>
        </w:rPr>
        <w:t>винеровского</w:t>
      </w:r>
      <w:proofErr w:type="spellEnd"/>
      <w:r w:rsidRPr="00A73F32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val="ru-RU" w:eastAsia="en-GB"/>
        </w:rPr>
        <w:t xml:space="preserve"> процесса с оператором Лапласа и решения общего СДУ с общими эллиптическим и параболическим оператором.</w:t>
      </w:r>
    </w:p>
    <w:p w14:paraId="47B99A0E" w14:textId="77777777" w:rsidR="00A73F32" w:rsidRPr="00A73F32" w:rsidRDefault="00A73F32" w:rsidP="00A73F32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</w:rPr>
      </w:pPr>
      <w:r w:rsidRPr="00A73F32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val="ru-RU" w:eastAsia="en-GB"/>
        </w:rPr>
        <w:t>8: Эргодические решения СДУ и уравнение Пуассона «во всем пространстве»</w:t>
      </w:r>
    </w:p>
    <w:p w14:paraId="2E5D78A3" w14:textId="77777777" w:rsidR="00A73F32" w:rsidRPr="00A73F32" w:rsidRDefault="00A73F32" w:rsidP="00A73F32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</w:rPr>
      </w:pPr>
      <w:r w:rsidRPr="00A73F32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val="ru-RU" w:eastAsia="en-GB"/>
        </w:rPr>
        <w:t xml:space="preserve">9: Обратные и прямые уравнения </w:t>
      </w:r>
      <w:proofErr w:type="spellStart"/>
      <w:r w:rsidRPr="00A73F32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val="ru-RU" w:eastAsia="en-GB"/>
        </w:rPr>
        <w:t>Фоккера</w:t>
      </w:r>
      <w:proofErr w:type="spellEnd"/>
      <w:r w:rsidRPr="00A73F32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val="ru-RU" w:eastAsia="en-GB"/>
        </w:rPr>
        <w:t xml:space="preserve"> – Планка – Колмогорова (ФПК); генераторы (квази)диффузионного процесса.</w:t>
      </w:r>
    </w:p>
    <w:p w14:paraId="10B40603" w14:textId="77777777" w:rsidR="00A73F32" w:rsidRPr="00A73F32" w:rsidRDefault="00A73F32" w:rsidP="00A73F32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</w:rPr>
      </w:pPr>
      <w:r w:rsidRPr="00A73F32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val="ru-RU" w:eastAsia="en-GB"/>
        </w:rPr>
        <w:t>10: Стохастическое управление на конечном интервале времени; уравнение Беллмана; алгоритм улучшения цены Ховарда – Беллмана; понятие о вязких решениях уравнения Беллмана.</w:t>
      </w:r>
    </w:p>
    <w:p w14:paraId="717F5149" w14:textId="77777777" w:rsidR="00A73F32" w:rsidRPr="00A73F32" w:rsidRDefault="00A73F32" w:rsidP="00A73F32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</w:rPr>
      </w:pPr>
      <w:r w:rsidRPr="00A73F32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val="ru-RU" w:eastAsia="en-GB"/>
        </w:rPr>
        <w:t>11: Эргодическое управление «в среднем»; эргодическое уравнение Беллмана</w:t>
      </w:r>
    </w:p>
    <w:p w14:paraId="316183BA" w14:textId="77777777" w:rsidR="00A73F32" w:rsidRPr="00A73F32" w:rsidRDefault="00A73F32" w:rsidP="00A73F32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</w:rPr>
      </w:pPr>
      <w:r w:rsidRPr="00A73F32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val="ru-RU" w:eastAsia="en-GB"/>
        </w:rPr>
        <w:t>12: Задача об оптимальной остановке.</w:t>
      </w:r>
    </w:p>
    <w:p w14:paraId="3DAC1C1F" w14:textId="77777777" w:rsidR="00A73F32" w:rsidRPr="00A73F32" w:rsidRDefault="00A73F32" w:rsidP="00A73F32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</w:rPr>
      </w:pPr>
      <w:r w:rsidRPr="00A73F32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val="ru-RU" w:eastAsia="en-GB"/>
        </w:rPr>
        <w:t xml:space="preserve">14: Обратные СДУ </w:t>
      </w:r>
      <w:proofErr w:type="spellStart"/>
      <w:r w:rsidRPr="00A73F32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val="ru-RU" w:eastAsia="en-GB"/>
        </w:rPr>
        <w:t>Парду</w:t>
      </w:r>
      <w:proofErr w:type="spellEnd"/>
      <w:r w:rsidRPr="00A73F32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val="ru-RU" w:eastAsia="en-GB"/>
        </w:rPr>
        <w:t xml:space="preserve"> – </w:t>
      </w:r>
      <w:proofErr w:type="spellStart"/>
      <w:r w:rsidRPr="00A73F32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val="ru-RU" w:eastAsia="en-GB"/>
        </w:rPr>
        <w:t>Пенга</w:t>
      </w:r>
      <w:proofErr w:type="spellEnd"/>
      <w:r w:rsidRPr="00A73F32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val="ru-RU" w:eastAsia="en-GB"/>
        </w:rPr>
        <w:t xml:space="preserve"> (</w:t>
      </w:r>
      <w:proofErr w:type="spellStart"/>
      <w:r w:rsidRPr="00A73F32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val="fr-FR" w:eastAsia="en-GB"/>
        </w:rPr>
        <w:t>BSDEs</w:t>
      </w:r>
      <w:proofErr w:type="spellEnd"/>
      <w:r w:rsidRPr="00A73F32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val="ru-RU" w:eastAsia="en-GB"/>
        </w:rPr>
        <w:t>); существование и единственность.</w:t>
      </w:r>
    </w:p>
    <w:p w14:paraId="62E35521" w14:textId="1BE29B4C" w:rsidR="00A73F32" w:rsidRPr="00A73F32" w:rsidRDefault="00A73F32" w:rsidP="00A73F32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</w:rPr>
      </w:pPr>
      <w:r w:rsidRPr="00A73F32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val="ru-RU" w:eastAsia="en-GB"/>
        </w:rPr>
        <w:t xml:space="preserve">15: Связь </w:t>
      </w:r>
      <w:proofErr w:type="spellStart"/>
      <w:r w:rsidRPr="00A73F32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val="fr-FR" w:eastAsia="en-GB"/>
        </w:rPr>
        <w:t>BSDEs</w:t>
      </w:r>
      <w:proofErr w:type="spellEnd"/>
      <w:r w:rsidRPr="00A73F32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val="ru-RU" w:eastAsia="en-GB"/>
        </w:rPr>
        <w:t xml:space="preserve"> с задачами стохастического оптимального управления.</w:t>
      </w:r>
    </w:p>
    <w:p w14:paraId="7C909554" w14:textId="4CD595F8" w:rsidR="00A73F32" w:rsidRPr="00A73F32" w:rsidRDefault="00A73F32" w:rsidP="00A73F32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</w:rPr>
      </w:pPr>
      <w:r w:rsidRPr="00A73F32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val="ru-RU" w:eastAsia="en-GB"/>
        </w:rPr>
        <w:t xml:space="preserve">16: Прямые-обратные СДУ </w:t>
      </w:r>
      <w:proofErr w:type="spellStart"/>
      <w:r w:rsidRPr="00A73F32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val="ru-RU" w:eastAsia="en-GB"/>
        </w:rPr>
        <w:t>Парду</w:t>
      </w:r>
      <w:proofErr w:type="spellEnd"/>
      <w:r w:rsidRPr="00A73F32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val="ru-RU" w:eastAsia="en-GB"/>
        </w:rPr>
        <w:t xml:space="preserve"> – </w:t>
      </w:r>
      <w:proofErr w:type="spellStart"/>
      <w:r w:rsidRPr="00A73F32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val="ru-RU" w:eastAsia="en-GB"/>
        </w:rPr>
        <w:t>Пенга</w:t>
      </w:r>
      <w:proofErr w:type="spellEnd"/>
      <w:r w:rsidRPr="00A73F32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val="ru-RU" w:eastAsia="en-GB"/>
        </w:rPr>
        <w:t xml:space="preserve"> (</w:t>
      </w:r>
      <w:proofErr w:type="spellStart"/>
      <w:r w:rsidRPr="00A73F32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val="fr-FR" w:eastAsia="en-GB"/>
        </w:rPr>
        <w:t>Forward</w:t>
      </w:r>
      <w:proofErr w:type="spellEnd"/>
      <w:r w:rsidRPr="00A73F32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val="ru-RU" w:eastAsia="en-GB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val="fr-FR" w:eastAsia="en-GB"/>
        </w:rPr>
        <w:t>B</w:t>
      </w:r>
      <w:r w:rsidRPr="00A73F32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val="fr-FR" w:eastAsia="en-GB"/>
        </w:rPr>
        <w:t>ackward</w:t>
      </w:r>
      <w:proofErr w:type="spellEnd"/>
      <w:r w:rsidRPr="00A73F32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val="ru-RU" w:eastAsia="en-GB"/>
        </w:rPr>
        <w:t xml:space="preserve"> </w:t>
      </w:r>
      <w:proofErr w:type="spellStart"/>
      <w:r w:rsidRPr="00A73F32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val="fr-FR" w:eastAsia="en-GB"/>
        </w:rPr>
        <w:t>SDEs</w:t>
      </w:r>
      <w:proofErr w:type="spellEnd"/>
      <w:r w:rsidRPr="00A73F32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val="ru-RU" w:eastAsia="en-GB"/>
        </w:rPr>
        <w:t xml:space="preserve">, </w:t>
      </w:r>
      <w:proofErr w:type="spellStart"/>
      <w:r w:rsidRPr="00A73F32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val="fr-FR" w:eastAsia="en-GB"/>
        </w:rPr>
        <w:t>FBSDEs</w:t>
      </w:r>
      <w:proofErr w:type="spellEnd"/>
      <w:r w:rsidRPr="00A73F32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val="ru-RU" w:eastAsia="en-GB"/>
        </w:rPr>
        <w:t>) и их связь с нелинейными уравнениями в частных производных.</w:t>
      </w:r>
    </w:p>
    <w:p w14:paraId="51BDA882" w14:textId="77777777" w:rsidR="00A73F32" w:rsidRPr="00A73F32" w:rsidRDefault="00A73F32" w:rsidP="00A73F32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en-GB"/>
        </w:rPr>
      </w:pPr>
      <w:r w:rsidRPr="00A73F32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val="ru-RU" w:eastAsia="en-GB"/>
        </w:rPr>
        <w:t>17: Повторение пройденного.</w:t>
      </w:r>
    </w:p>
    <w:p w14:paraId="532104E4" w14:textId="5FC2A710" w:rsidR="001163D7" w:rsidRPr="00A73F32" w:rsidRDefault="001163D7">
      <w:pPr>
        <w:pStyle w:val="Standard"/>
        <w:rPr>
          <w:u w:val="single"/>
          <w:lang w:val="ru-RU"/>
        </w:rPr>
      </w:pPr>
    </w:p>
    <w:sectPr w:rsidR="001163D7" w:rsidRPr="00A73F32">
      <w:pgSz w:w="11906" w:h="16838"/>
      <w:pgMar w:top="1437" w:right="1437" w:bottom="1437" w:left="1437" w:header="720" w:footer="720" w:gutter="0"/>
      <w:pgBorders w:offsetFrom="page">
        <w:top w:val="single" w:sz="4" w:space="24" w:color="00000A"/>
        <w:left w:val="single" w:sz="4" w:space="24" w:color="00000A"/>
        <w:bottom w:val="single" w:sz="4" w:space="24" w:color="00000A"/>
        <w:right w:val="single" w:sz="4" w:space="24" w:color="00000A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93223" w14:textId="77777777" w:rsidR="00980A13" w:rsidRDefault="00980A13">
      <w:pPr>
        <w:spacing w:after="0" w:line="240" w:lineRule="auto"/>
      </w:pPr>
      <w:r>
        <w:separator/>
      </w:r>
    </w:p>
  </w:endnote>
  <w:endnote w:type="continuationSeparator" w:id="0">
    <w:p w14:paraId="5AD2526D" w14:textId="77777777" w:rsidR="00980A13" w:rsidRDefault="0098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99B8F" w14:textId="77777777" w:rsidR="00980A13" w:rsidRDefault="00980A1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BB85AF3" w14:textId="77777777" w:rsidR="00980A13" w:rsidRDefault="00980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1582F"/>
    <w:multiLevelType w:val="multilevel"/>
    <w:tmpl w:val="95B49D14"/>
    <w:styleLink w:val="WWNum8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2574810"/>
    <w:multiLevelType w:val="multilevel"/>
    <w:tmpl w:val="8CB6BAFA"/>
    <w:styleLink w:val="WWNum2"/>
    <w:lvl w:ilvl="0">
      <w:start w:val="1"/>
      <w:numFmt w:val="decimal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E313771"/>
    <w:multiLevelType w:val="multilevel"/>
    <w:tmpl w:val="584A75FC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3A9F35C4"/>
    <w:multiLevelType w:val="multilevel"/>
    <w:tmpl w:val="C9542A64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44F703D5"/>
    <w:multiLevelType w:val="multilevel"/>
    <w:tmpl w:val="8894122A"/>
    <w:styleLink w:val="WWNum1"/>
    <w:lvl w:ilvl="0">
      <w:start w:val="1"/>
      <w:numFmt w:val="decimal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454B1CBD"/>
    <w:multiLevelType w:val="multilevel"/>
    <w:tmpl w:val="7F3828E0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46476707"/>
    <w:multiLevelType w:val="multilevel"/>
    <w:tmpl w:val="7346C99E"/>
    <w:styleLink w:val="WWNum4"/>
    <w:lvl w:ilvl="0">
      <w:start w:val="1"/>
      <w:numFmt w:val="decimal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47F12541"/>
    <w:multiLevelType w:val="multilevel"/>
    <w:tmpl w:val="DF88ECE4"/>
    <w:styleLink w:val="WWNum10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4AAC6963"/>
    <w:multiLevelType w:val="multilevel"/>
    <w:tmpl w:val="AE6AA79C"/>
    <w:styleLink w:val="WWNum3"/>
    <w:lvl w:ilvl="0">
      <w:start w:val="1"/>
      <w:numFmt w:val="decimal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57B04087"/>
    <w:multiLevelType w:val="multilevel"/>
    <w:tmpl w:val="88BE7C22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" w15:restartNumberingAfterBreak="0">
    <w:nsid w:val="65C45D24"/>
    <w:multiLevelType w:val="multilevel"/>
    <w:tmpl w:val="E3BC4A12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0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3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163D7"/>
    <w:rsid w:val="001163D7"/>
    <w:rsid w:val="001E7354"/>
    <w:rsid w:val="004E70D3"/>
    <w:rsid w:val="00626BC1"/>
    <w:rsid w:val="006710AE"/>
    <w:rsid w:val="006C2478"/>
    <w:rsid w:val="00980A13"/>
    <w:rsid w:val="00A73F32"/>
    <w:rsid w:val="00A97808"/>
    <w:rsid w:val="00C0759B"/>
    <w:rsid w:val="00DF2183"/>
    <w:rsid w:val="00EA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BFEDA"/>
  <w15:docId w15:val="{565E6B46-4A28-4D53-B06B-A5019353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uiPriority w:val="9"/>
    <w:qFormat/>
    <w:pPr>
      <w:keepNext/>
      <w:keepLines/>
      <w:spacing w:before="240" w:after="160"/>
      <w:outlineLvl w:val="0"/>
    </w:pPr>
    <w:rPr>
      <w:rFonts w:ascii="Calibri Light" w:hAnsi="Calibri Light"/>
      <w:color w:val="2F5496"/>
      <w:sz w:val="32"/>
      <w:szCs w:val="32"/>
    </w:rPr>
  </w:style>
  <w:style w:type="paragraph" w:styleId="Heading2">
    <w:name w:val="heading 2"/>
    <w:basedOn w:val="Standard"/>
    <w:next w:val="Textbody"/>
    <w:uiPriority w:val="9"/>
    <w:semiHidden/>
    <w:unhideWhenUsed/>
    <w:qFormat/>
    <w:pPr>
      <w:spacing w:before="100" w:after="10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ListParagraph">
    <w:name w:val="List Paragraph"/>
    <w:basedOn w:val="Standard"/>
    <w:pPr>
      <w:ind w:left="720"/>
    </w:pPr>
  </w:style>
  <w:style w:type="paragraph" w:styleId="NormalWeb">
    <w:name w:val="Normal (Web)"/>
    <w:basedOn w:val="Standard"/>
    <w:pPr>
      <w:spacing w:before="100" w:after="119"/>
    </w:pPr>
    <w:rPr>
      <w:rFonts w:ascii="Times New Roman" w:eastAsia="Times New Roman" w:hAnsi="Times New Roman" w:cs="Times New Roman"/>
      <w:lang w:eastAsia="en-GB"/>
    </w:rPr>
  </w:style>
  <w:style w:type="paragraph" w:customStyle="1" w:styleId="western">
    <w:name w:val="western"/>
    <w:basedOn w:val="Standard"/>
    <w:pPr>
      <w:spacing w:before="100" w:after="119"/>
    </w:pPr>
    <w:rPr>
      <w:rFonts w:ascii="Times New Roman" w:eastAsia="Times New Roman" w:hAnsi="Times New Roman" w:cs="Times New Roman"/>
      <w:lang w:eastAsia="en-GB"/>
    </w:rPr>
  </w:style>
  <w:style w:type="character" w:customStyle="1" w:styleId="Internetlink">
    <w:name w:val="Internet link"/>
    <w:basedOn w:val="DefaultParagraphFont"/>
    <w:rPr>
      <w:color w:val="0563C1"/>
      <w:u w:val="single"/>
      <w:lang/>
    </w:rPr>
  </w:style>
  <w:style w:type="character" w:styleId="UnresolvedMention">
    <w:name w:val="Unresolved Mention"/>
    <w:basedOn w:val="DefaultParagraphFont"/>
    <w:rPr>
      <w:color w:val="605E5C"/>
    </w:rPr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1Char">
    <w:name w:val="Heading 1 Char"/>
    <w:basedOn w:val="DefaultParagraphFont"/>
    <w:rPr>
      <w:rFonts w:ascii="Calibri Light" w:hAnsi="Calibri Light"/>
      <w:color w:val="2F5496"/>
      <w:sz w:val="32"/>
      <w:szCs w:val="32"/>
    </w:rPr>
  </w:style>
  <w:style w:type="character" w:styleId="Emphasis">
    <w:name w:val="Emphasis"/>
    <w:basedOn w:val="DefaultParagraphFont"/>
    <w:rPr>
      <w:i/>
      <w:iCs/>
    </w:rPr>
  </w:style>
  <w:style w:type="character" w:customStyle="1" w:styleId="article-compound">
    <w:name w:val="article-compound"/>
    <w:basedOn w:val="DefaultParagraphFont"/>
  </w:style>
  <w:style w:type="character" w:customStyle="1" w:styleId="bibdatatag">
    <w:name w:val="bibdatatag"/>
    <w:basedOn w:val="DefaultParagraphFont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character" w:styleId="Hyperlink">
    <w:name w:val="Hyperlink"/>
    <w:basedOn w:val="DefaultParagraphFont"/>
    <w:uiPriority w:val="99"/>
    <w:unhideWhenUsed/>
    <w:rsid w:val="006C24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7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th.nsc.ru/LBRT/v1/school2021summer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Veretennikov</dc:creator>
  <cp:lastModifiedBy>Alexandre Veretennikov</cp:lastModifiedBy>
  <cp:revision>2</cp:revision>
  <dcterms:created xsi:type="dcterms:W3CDTF">2021-08-08T13:59:00Z</dcterms:created>
  <dcterms:modified xsi:type="dcterms:W3CDTF">2021-08-08T13:59:00Z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